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56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5325"/>
      </w:tblGrid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Default="0045511C" w:rsidP="0045511C">
            <w:pPr>
              <w:tabs>
                <w:tab w:val="left" w:pos="1155"/>
              </w:tabs>
              <w:spacing w:line="256" w:lineRule="auto"/>
              <w:jc w:val="center"/>
              <w:rPr>
                <w:b/>
              </w:rPr>
            </w:pPr>
            <w:bookmarkStart w:id="0" w:name="_GoBack"/>
            <w:bookmarkEnd w:id="0"/>
            <w:r w:rsidRPr="00766FF1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480C97C8" wp14:editId="2627BB4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3175</wp:posOffset>
                  </wp:positionV>
                  <wp:extent cx="1266825" cy="459740"/>
                  <wp:effectExtent l="0" t="0" r="9525" b="0"/>
                  <wp:wrapSquare wrapText="bothSides"/>
                  <wp:docPr id="5" name="Obrázek 5" descr="G:\Dropbox\Dropbox\ZA\manual ZAG\files\logo\png\logo1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ropbox\Dropbox\ZA\manual ZAG\files\logo\png\logo1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Zemědělská akademie a Gymnázium Hořice – střední škola a vyšší odborná škola,</w:t>
            </w:r>
          </w:p>
          <w:p w:rsidR="0045511C" w:rsidRPr="00766FF1" w:rsidRDefault="0045511C" w:rsidP="0045511C">
            <w:pPr>
              <w:tabs>
                <w:tab w:val="left" w:pos="115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příspěvková organizace</w:t>
            </w:r>
          </w:p>
        </w:tc>
      </w:tr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26" w:rsidRPr="004D7A26" w:rsidRDefault="00CF35C3" w:rsidP="004D7A26">
            <w:pPr>
              <w:pStyle w:val="Bezmezer"/>
              <w:jc w:val="center"/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</w:pPr>
            <w:r w:rsidRPr="004D7A26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Pokyn ředitele školy </w:t>
            </w:r>
            <w:r w:rsidR="0045511C" w:rsidRPr="004D7A26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 </w:t>
            </w:r>
            <w:r w:rsidR="004D7A26" w:rsidRPr="004D7A26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 Na ochranu zdraví a zajištění provozu v průběhu přijímacích zkoušek, maturitních zkoušek, závěrečných zkoušek a absolutori</w:t>
            </w:r>
            <w:r w:rsidR="000D6330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>í</w:t>
            </w:r>
            <w:r w:rsidR="004D7A26" w:rsidRPr="004D7A26">
              <w:rPr>
                <w:rFonts w:asciiTheme="majorHAnsi" w:hAnsiTheme="majorHAnsi" w:cstheme="majorHAnsi"/>
                <w:b/>
                <w:color w:val="002060"/>
                <w:sz w:val="28"/>
                <w:szCs w:val="28"/>
              </w:rPr>
              <w:t xml:space="preserve"> ve školním roce 2019/2020</w:t>
            </w:r>
          </w:p>
          <w:p w:rsidR="0045511C" w:rsidRPr="00CF35C3" w:rsidRDefault="0045511C" w:rsidP="00CF35C3">
            <w:pPr>
              <w:pStyle w:val="Bezmezer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5511C" w:rsidTr="0045511C">
        <w:trPr>
          <w:trHeight w:val="30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D7A26">
            <w:pPr>
              <w:spacing w:line="256" w:lineRule="auto"/>
              <w:rPr>
                <w:b/>
              </w:rPr>
            </w:pPr>
            <w:proofErr w:type="gramStart"/>
            <w:r w:rsidRPr="00766FF1">
              <w:rPr>
                <w:b/>
              </w:rPr>
              <w:t>Č.j.</w:t>
            </w:r>
            <w:proofErr w:type="gramEnd"/>
            <w:r w:rsidRPr="00766FF1">
              <w:rPr>
                <w:b/>
              </w:rPr>
              <w:t>:</w:t>
            </w:r>
            <w:r w:rsidR="004D7A26">
              <w:rPr>
                <w:b/>
              </w:rPr>
              <w:t xml:space="preserve">  ZAHO/647</w:t>
            </w:r>
            <w:r>
              <w:rPr>
                <w:b/>
              </w:rPr>
              <w:t>/2020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D7A26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 xml:space="preserve">Účinnost </w:t>
            </w:r>
            <w:proofErr w:type="gramStart"/>
            <w:r w:rsidRPr="00766FF1">
              <w:rPr>
                <w:b/>
              </w:rPr>
              <w:t>od</w:t>
            </w:r>
            <w:proofErr w:type="gramEnd"/>
            <w:r w:rsidRPr="00766FF1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4D7A26">
              <w:rPr>
                <w:b/>
              </w:rPr>
              <w:t>22. 5. 2020</w:t>
            </w:r>
          </w:p>
        </w:tc>
      </w:tr>
      <w:tr w:rsidR="0045511C" w:rsidTr="0045511C">
        <w:trPr>
          <w:trHeight w:val="30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>Spisový znak:</w:t>
            </w:r>
            <w:r>
              <w:rPr>
                <w:b/>
              </w:rPr>
              <w:t xml:space="preserve"> 1. 1. 3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 xml:space="preserve">Skartační znak: </w:t>
            </w:r>
            <w:r>
              <w:rPr>
                <w:b/>
              </w:rPr>
              <w:t>V/10</w:t>
            </w:r>
          </w:p>
        </w:tc>
      </w:tr>
      <w:tr w:rsidR="0045511C" w:rsidTr="0045511C">
        <w:trPr>
          <w:cantSplit/>
          <w:trHeight w:val="307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1C" w:rsidRPr="00766FF1" w:rsidRDefault="0045511C" w:rsidP="0045511C">
            <w:pPr>
              <w:spacing w:line="256" w:lineRule="auto"/>
              <w:rPr>
                <w:b/>
              </w:rPr>
            </w:pPr>
            <w:r w:rsidRPr="00766FF1">
              <w:rPr>
                <w:b/>
              </w:rPr>
              <w:t>Změny:</w:t>
            </w:r>
          </w:p>
        </w:tc>
      </w:tr>
    </w:tbl>
    <w:p w:rsidR="00766FF1" w:rsidRDefault="00766FF1" w:rsidP="006B38BD">
      <w:pPr>
        <w:pStyle w:val="Bezmezer"/>
        <w:jc w:val="center"/>
        <w:rPr>
          <w:b/>
          <w:sz w:val="32"/>
          <w:szCs w:val="32"/>
          <w:u w:val="single"/>
        </w:rPr>
      </w:pPr>
    </w:p>
    <w:p w:rsidR="0045511C" w:rsidRDefault="0045511C" w:rsidP="006B38BD">
      <w:pPr>
        <w:pStyle w:val="Bezmezer"/>
        <w:jc w:val="center"/>
        <w:rPr>
          <w:b/>
          <w:sz w:val="32"/>
          <w:szCs w:val="32"/>
          <w:u w:val="single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45511C">
      <w:pPr>
        <w:pStyle w:val="Bezmezer"/>
        <w:rPr>
          <w:rFonts w:asciiTheme="majorHAnsi" w:hAnsiTheme="majorHAnsi"/>
          <w:b/>
          <w:color w:val="002060"/>
          <w:sz w:val="28"/>
          <w:szCs w:val="28"/>
        </w:rPr>
      </w:pPr>
    </w:p>
    <w:p w:rsidR="0045511C" w:rsidRDefault="0045511C" w:rsidP="006B38BD">
      <w:pPr>
        <w:pStyle w:val="Bezmezer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4D7A26" w:rsidRDefault="004D7A26" w:rsidP="00CF35C3">
      <w:pPr>
        <w:pStyle w:val="Bezmezer"/>
        <w:jc w:val="center"/>
        <w:rPr>
          <w:rFonts w:asciiTheme="majorHAnsi" w:hAnsiTheme="majorHAnsi" w:cstheme="majorHAnsi"/>
          <w:b/>
          <w:color w:val="002060"/>
          <w:sz w:val="28"/>
          <w:szCs w:val="28"/>
        </w:rPr>
      </w:pPr>
    </w:p>
    <w:p w:rsidR="004D7A26" w:rsidRPr="004D7A26" w:rsidRDefault="004D7A26" w:rsidP="004D7A26">
      <w:pPr>
        <w:pStyle w:val="Bezmezer"/>
        <w:jc w:val="center"/>
        <w:rPr>
          <w:rFonts w:asciiTheme="majorHAnsi" w:hAnsiTheme="majorHAnsi" w:cstheme="majorHAnsi"/>
          <w:b/>
          <w:color w:val="002060"/>
          <w:sz w:val="32"/>
          <w:szCs w:val="32"/>
        </w:rPr>
      </w:pPr>
      <w:r w:rsidRPr="004D7A26">
        <w:rPr>
          <w:rFonts w:asciiTheme="majorHAnsi" w:hAnsiTheme="majorHAnsi" w:cstheme="majorHAnsi"/>
          <w:b/>
          <w:color w:val="002060"/>
          <w:sz w:val="32"/>
          <w:szCs w:val="32"/>
        </w:rPr>
        <w:t>Pokyn ředitele školy   Na ochranu zdraví a zajištění provozu v průběhu přijímacích zkoušek, maturitních zkoušek, závěrečných zkoušek a absolutori</w:t>
      </w:r>
      <w:r w:rsidR="000D6330">
        <w:rPr>
          <w:rFonts w:asciiTheme="majorHAnsi" w:hAnsiTheme="majorHAnsi" w:cstheme="majorHAnsi"/>
          <w:b/>
          <w:color w:val="002060"/>
          <w:sz w:val="32"/>
          <w:szCs w:val="32"/>
        </w:rPr>
        <w:t>í</w:t>
      </w:r>
      <w:r w:rsidRPr="004D7A26">
        <w:rPr>
          <w:rFonts w:asciiTheme="majorHAnsi" w:hAnsiTheme="majorHAnsi" w:cstheme="majorHAnsi"/>
          <w:b/>
          <w:color w:val="002060"/>
          <w:sz w:val="32"/>
          <w:szCs w:val="32"/>
        </w:rPr>
        <w:t xml:space="preserve"> ve školním roce 2019/2020</w:t>
      </w:r>
    </w:p>
    <w:p w:rsidR="004D7A26" w:rsidRDefault="004D7A26" w:rsidP="004D7A26">
      <w:pPr>
        <w:pStyle w:val="Bezmezer"/>
        <w:jc w:val="both"/>
        <w:rPr>
          <w:b/>
        </w:rPr>
      </w:pPr>
    </w:p>
    <w:p w:rsidR="004D7A26" w:rsidRDefault="004D7A26" w:rsidP="004D7A26">
      <w:pPr>
        <w:pStyle w:val="Bezmezer"/>
        <w:jc w:val="both"/>
        <w:rPr>
          <w:b/>
        </w:rPr>
      </w:pPr>
    </w:p>
    <w:p w:rsidR="004D7A26" w:rsidRPr="004D7A26" w:rsidRDefault="004D7A26" w:rsidP="004D7A26">
      <w:pPr>
        <w:pStyle w:val="Bezmezer"/>
        <w:jc w:val="both"/>
        <w:rPr>
          <w:b/>
          <w:sz w:val="28"/>
          <w:szCs w:val="28"/>
        </w:rPr>
      </w:pPr>
      <w:r w:rsidRPr="004D7A26">
        <w:rPr>
          <w:b/>
          <w:sz w:val="28"/>
          <w:szCs w:val="28"/>
        </w:rPr>
        <w:t>Úvod:</w:t>
      </w:r>
    </w:p>
    <w:p w:rsidR="004D7A26" w:rsidRPr="00E44130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E44130">
        <w:rPr>
          <w:rFonts w:ascii="Calibri" w:hAnsi="Calibri" w:cs="Calibri"/>
          <w:color w:val="000000"/>
        </w:rPr>
        <w:t>Tento materiál se vztahuje na provozní podmínky střední</w:t>
      </w:r>
      <w:r w:rsidRPr="00197DBF">
        <w:rPr>
          <w:rFonts w:ascii="Calibri" w:hAnsi="Calibri" w:cs="Calibri"/>
          <w:color w:val="000000"/>
        </w:rPr>
        <w:t xml:space="preserve"> </w:t>
      </w:r>
      <w:r w:rsidRPr="00E44130">
        <w:rPr>
          <w:rFonts w:ascii="Calibri" w:hAnsi="Calibri" w:cs="Calibri"/>
          <w:color w:val="000000"/>
        </w:rPr>
        <w:t>škol</w:t>
      </w:r>
      <w:r w:rsidRPr="00197DBF">
        <w:rPr>
          <w:rFonts w:ascii="Calibri" w:hAnsi="Calibri" w:cs="Calibri"/>
          <w:color w:val="000000"/>
        </w:rPr>
        <w:t xml:space="preserve">y a </w:t>
      </w:r>
      <w:r w:rsidRPr="00E44130">
        <w:rPr>
          <w:rFonts w:ascii="Calibri" w:hAnsi="Calibri" w:cs="Calibri"/>
          <w:color w:val="000000"/>
        </w:rPr>
        <w:t xml:space="preserve"> vyšší odborn</w:t>
      </w:r>
      <w:r w:rsidRPr="00197DBF">
        <w:rPr>
          <w:rFonts w:ascii="Calibri" w:hAnsi="Calibri" w:cs="Calibri"/>
          <w:color w:val="000000"/>
        </w:rPr>
        <w:t>é</w:t>
      </w:r>
      <w:r w:rsidRPr="00E44130">
        <w:rPr>
          <w:rFonts w:ascii="Calibri" w:hAnsi="Calibri" w:cs="Calibri"/>
          <w:color w:val="000000"/>
        </w:rPr>
        <w:t xml:space="preserve"> škol</w:t>
      </w:r>
      <w:r w:rsidRPr="00197DBF">
        <w:rPr>
          <w:rFonts w:ascii="Calibri" w:hAnsi="Calibri" w:cs="Calibri"/>
          <w:color w:val="000000"/>
        </w:rPr>
        <w:t>y</w:t>
      </w:r>
      <w:r w:rsidRPr="00E44130">
        <w:rPr>
          <w:rFonts w:ascii="Calibri" w:hAnsi="Calibri" w:cs="Calibri"/>
          <w:color w:val="000000"/>
        </w:rPr>
        <w:t xml:space="preserve"> pro vykonání přijímací zkoušky, maturitní zkoušky, závěrečné zkoušky a absolutoria. </w:t>
      </w:r>
    </w:p>
    <w:p w:rsidR="004D7A26" w:rsidRDefault="004D7A26" w:rsidP="004D7A26">
      <w:pPr>
        <w:pStyle w:val="Bezmezer"/>
        <w:jc w:val="both"/>
      </w:pPr>
      <w:r w:rsidRPr="00197DBF">
        <w:t xml:space="preserve">Tento materiál stanoví pouze ty provozní podmínky, které se liší </w:t>
      </w:r>
      <w:r w:rsidRPr="00197DBF">
        <w:rPr>
          <w:i/>
          <w:iCs/>
        </w:rPr>
        <w:t xml:space="preserve">(či jsou stanoveny nad rámec) </w:t>
      </w:r>
      <w:r w:rsidRPr="00197DBF">
        <w:t>od standardních podmínek vyplývajících ze školských, hygienických, pracovněprávních a dalších</w:t>
      </w:r>
      <w:r w:rsidRPr="001D59AC">
        <w:t xml:space="preserve"> předpisů. </w:t>
      </w:r>
    </w:p>
    <w:p w:rsidR="004D7A26" w:rsidRPr="00197DBF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197DBF">
        <w:rPr>
          <w:rFonts w:ascii="Calibri" w:hAnsi="Calibri" w:cs="Calibri"/>
          <w:color w:val="000000"/>
          <w:sz w:val="23"/>
          <w:szCs w:val="23"/>
        </w:rPr>
        <w:t xml:space="preserve">Žákem se pro tento materiál rozumí i </w:t>
      </w:r>
      <w:r w:rsidR="000D6330">
        <w:rPr>
          <w:rFonts w:ascii="Calibri" w:hAnsi="Calibri" w:cs="Calibri"/>
          <w:color w:val="000000"/>
          <w:sz w:val="23"/>
          <w:szCs w:val="23"/>
        </w:rPr>
        <w:t xml:space="preserve">uchazeč a </w:t>
      </w:r>
      <w:r w:rsidRPr="00197DBF">
        <w:rPr>
          <w:rFonts w:ascii="Calibri" w:hAnsi="Calibri" w:cs="Calibri"/>
          <w:color w:val="000000"/>
          <w:sz w:val="23"/>
          <w:szCs w:val="23"/>
        </w:rPr>
        <w:t xml:space="preserve">student VOŠ. </w:t>
      </w:r>
    </w:p>
    <w:p w:rsidR="004D7A26" w:rsidRPr="004D7A26" w:rsidRDefault="004D7A26" w:rsidP="004D7A26">
      <w:pPr>
        <w:pStyle w:val="Bezmezer"/>
        <w:jc w:val="both"/>
        <w:rPr>
          <w:sz w:val="28"/>
          <w:szCs w:val="28"/>
        </w:rPr>
      </w:pPr>
    </w:p>
    <w:p w:rsidR="004D7A26" w:rsidRPr="004D7A26" w:rsidRDefault="004D7A26" w:rsidP="004D7A26">
      <w:pPr>
        <w:pStyle w:val="Bezmezer"/>
        <w:jc w:val="both"/>
        <w:rPr>
          <w:b/>
          <w:sz w:val="28"/>
          <w:szCs w:val="28"/>
        </w:rPr>
      </w:pPr>
      <w:r w:rsidRPr="004D7A26">
        <w:rPr>
          <w:b/>
          <w:sz w:val="28"/>
          <w:szCs w:val="28"/>
        </w:rPr>
        <w:t>Příchod ke škole a pohyb před školou:</w:t>
      </w:r>
    </w:p>
    <w:p w:rsidR="004D7A26" w:rsidRDefault="004D7A26" w:rsidP="004D7A26">
      <w:pPr>
        <w:pStyle w:val="Bezmezer"/>
        <w:jc w:val="both"/>
      </w:pPr>
      <w:r w:rsidRPr="001D59AC">
        <w:t xml:space="preserve">Pohyb žáků před vstupem do školy bude organizován podle těchto principů: </w:t>
      </w:r>
    </w:p>
    <w:p w:rsidR="004D7A26" w:rsidRPr="00197DBF" w:rsidRDefault="004D7A26" w:rsidP="004D7A26">
      <w:pPr>
        <w:pStyle w:val="Bezmezer"/>
        <w:jc w:val="both"/>
      </w:pPr>
      <w:r w:rsidRPr="00197DBF">
        <w:rPr>
          <w:rFonts w:ascii="Wingdings 2" w:hAnsi="Wingdings 2" w:cs="Wingdings 2"/>
        </w:rPr>
        <w:t></w:t>
      </w:r>
      <w:r w:rsidRPr="00197DBF">
        <w:rPr>
          <w:rFonts w:ascii="Wingdings 2" w:hAnsi="Wingdings 2" w:cs="Wingdings 2"/>
        </w:rPr>
        <w:t></w:t>
      </w:r>
      <w:r w:rsidRPr="00197DBF">
        <w:t xml:space="preserve">V souladu s pozvánkou či oznámením školy se žák dostaví na zkoušku ve stanovený čas. </w:t>
      </w:r>
    </w:p>
    <w:p w:rsidR="004D7A26" w:rsidRPr="00197DBF" w:rsidRDefault="004D7A26" w:rsidP="004D7A26">
      <w:pPr>
        <w:pStyle w:val="Bezmezer"/>
        <w:jc w:val="both"/>
      </w:pPr>
      <w:r w:rsidRPr="00197DBF">
        <w:rPr>
          <w:rFonts w:ascii="Wingdings 2" w:hAnsi="Wingdings 2" w:cs="Wingdings 2"/>
        </w:rPr>
        <w:t></w:t>
      </w:r>
      <w:r w:rsidRPr="00197DBF">
        <w:rPr>
          <w:rFonts w:ascii="Wingdings 2" w:hAnsi="Wingdings 2" w:cs="Wingdings 2"/>
        </w:rPr>
        <w:t></w:t>
      </w:r>
      <w:r w:rsidRPr="00197DBF">
        <w:t xml:space="preserve">Žáci z rizikových skupin se mohou dostavit na zkoušku o 30 minut dříve, než je čas uvedený v pozvánce či </w:t>
      </w:r>
      <w:r>
        <w:t xml:space="preserve">   </w:t>
      </w:r>
      <w:r w:rsidRPr="00197DBF">
        <w:t xml:space="preserve">oznámení. </w:t>
      </w:r>
    </w:p>
    <w:p w:rsidR="004D7A26" w:rsidRPr="00197DBF" w:rsidRDefault="004D7A26" w:rsidP="004D7A26">
      <w:pPr>
        <w:pStyle w:val="Bezmezer"/>
        <w:jc w:val="both"/>
      </w:pPr>
      <w:r w:rsidRPr="00197DBF">
        <w:rPr>
          <w:rFonts w:ascii="Wingdings 2" w:hAnsi="Wingdings 2" w:cs="Wingdings 2"/>
        </w:rPr>
        <w:t></w:t>
      </w:r>
      <w:r w:rsidRPr="00197DBF">
        <w:rPr>
          <w:rFonts w:ascii="Wingdings 2" w:hAnsi="Wingdings 2" w:cs="Wingdings 2"/>
        </w:rPr>
        <w:t></w:t>
      </w:r>
      <w:r w:rsidRPr="00197DBF">
        <w:t xml:space="preserve">Před školou dodržovat odstupy 2 m v souladu s krizovými nebo mimořádnými opatřeními. </w:t>
      </w:r>
    </w:p>
    <w:p w:rsidR="004D7A26" w:rsidRPr="00197DBF" w:rsidRDefault="004D7A26" w:rsidP="004D7A26">
      <w:pPr>
        <w:pStyle w:val="Bezmezer"/>
        <w:jc w:val="both"/>
      </w:pPr>
      <w:r w:rsidRPr="00197DBF">
        <w:rPr>
          <w:rFonts w:ascii="Wingdings 2" w:hAnsi="Wingdings 2" w:cs="Wingdings 2"/>
        </w:rPr>
        <w:t></w:t>
      </w:r>
      <w:r w:rsidRPr="00197DBF">
        <w:rPr>
          <w:rFonts w:ascii="Wingdings 2" w:hAnsi="Wingdings 2" w:cs="Wingdings 2"/>
        </w:rPr>
        <w:t></w:t>
      </w:r>
      <w:r w:rsidRPr="00197DBF">
        <w:t xml:space="preserve">Pro všechny osoby nacházející se před školou platí povinnost zakrytí úst a nosu. </w:t>
      </w:r>
    </w:p>
    <w:p w:rsidR="004D7A26" w:rsidRPr="00197DBF" w:rsidRDefault="004D7A26" w:rsidP="004D7A26">
      <w:pPr>
        <w:pStyle w:val="Bezmezer"/>
        <w:jc w:val="both"/>
      </w:pPr>
      <w:r w:rsidRPr="00197DBF">
        <w:rPr>
          <w:rFonts w:ascii="Wingdings 2" w:hAnsi="Wingdings 2" w:cs="Wingdings 2"/>
        </w:rPr>
        <w:t></w:t>
      </w:r>
      <w:r w:rsidRPr="00197DBF">
        <w:rPr>
          <w:rFonts w:ascii="Wingdings 2" w:hAnsi="Wingdings 2" w:cs="Wingdings 2"/>
        </w:rPr>
        <w:t></w:t>
      </w:r>
      <w:r w:rsidRPr="00197DBF">
        <w:t xml:space="preserve">Pokud je to nutné, </w:t>
      </w:r>
      <w:r>
        <w:t xml:space="preserve">budou </w:t>
      </w:r>
      <w:r w:rsidRPr="00197DBF">
        <w:t>rozvr</w:t>
      </w:r>
      <w:r>
        <w:t>ženy</w:t>
      </w:r>
      <w:r w:rsidRPr="00197DBF">
        <w:t xml:space="preserve"> časy příchodu žáků tak, aby v jeden čas k budově školy dorazilo současně méně lidí. </w:t>
      </w:r>
    </w:p>
    <w:p w:rsidR="004D7A26" w:rsidRDefault="004D7A26" w:rsidP="004D7A26">
      <w:pPr>
        <w:pStyle w:val="Bezmezer"/>
        <w:jc w:val="both"/>
      </w:pPr>
    </w:p>
    <w:p w:rsidR="004D7A26" w:rsidRPr="004D7A26" w:rsidRDefault="004D7A26" w:rsidP="004D7A26">
      <w:pPr>
        <w:pStyle w:val="Bezmezer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4D7A26">
        <w:rPr>
          <w:rFonts w:ascii="Calibri" w:hAnsi="Calibri" w:cs="Calibri"/>
          <w:b/>
          <w:color w:val="000000"/>
          <w:sz w:val="28"/>
          <w:szCs w:val="28"/>
        </w:rPr>
        <w:t>Vstup do budovy nebo školského zařízení:</w:t>
      </w:r>
    </w:p>
    <w:p w:rsidR="004D7A26" w:rsidRPr="00441311" w:rsidRDefault="004D7A26" w:rsidP="004D7A26">
      <w:pPr>
        <w:pStyle w:val="Bezmezer"/>
        <w:jc w:val="both"/>
        <w:rPr>
          <w:sz w:val="24"/>
          <w:szCs w:val="24"/>
        </w:rPr>
      </w:pPr>
      <w:r w:rsidRPr="001D59AC">
        <w:rPr>
          <w:rFonts w:ascii="Wingdings 2" w:hAnsi="Wingdings 2" w:cs="Wingdings 2"/>
        </w:rPr>
        <w:t></w:t>
      </w:r>
      <w:r w:rsidRPr="001D59AC">
        <w:rPr>
          <w:rFonts w:ascii="Wingdings 2" w:hAnsi="Wingdings 2" w:cs="Wingdings 2"/>
        </w:rPr>
        <w:t></w:t>
      </w:r>
      <w:r w:rsidRPr="00441311">
        <w:t xml:space="preserve"> Vstup do budovy školy je umožněn </w:t>
      </w:r>
      <w:r w:rsidRPr="00441311">
        <w:rPr>
          <w:b/>
          <w:bCs/>
        </w:rPr>
        <w:t>pouze žákům</w:t>
      </w:r>
      <w:r w:rsidRPr="00441311">
        <w:t xml:space="preserve">, nikoliv doprovázejícím osobám. Do budovy školy lze vpustit i další osoby, které se v rámci zásady veřejnosti ústních zkoušek maturitních zkoušek, závěrečných zkoušek a absolutorií těchto zkoušek chtějí účastnit; tyto osoby jsou však povinny dodržovat všechna hygienická opatření stanovená školou (včetně podpisu čestného prohlášení).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Žáci odevzdají při vstupu do budovy čestné prohlášení.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Nikdo s příznaky infekce dýchacích cest, které by mohly odpovídat známým příznakům COVID-19 (zvýšená tělesná teplota, kašel, náhlá ztráta chuti a čichu, jiný příznak akutní infekce dýchacích cest), nesmí do školy vstoupit. </w:t>
      </w:r>
    </w:p>
    <w:p w:rsidR="004D7A26" w:rsidRPr="00441311" w:rsidRDefault="004D7A26" w:rsidP="004D7A26">
      <w:pPr>
        <w:pStyle w:val="Bezmezer"/>
        <w:jc w:val="both"/>
        <w:rPr>
          <w:rFonts w:ascii="Wingdings 2" w:hAnsi="Wingdings 2" w:cs="Wingdings 2"/>
          <w:color w:val="000000"/>
        </w:rPr>
      </w:pPr>
      <w:r w:rsidRPr="001D59AC">
        <w:rPr>
          <w:rFonts w:ascii="Wingdings 2" w:hAnsi="Wingdings 2" w:cs="Wingdings 2"/>
          <w:color w:val="000000"/>
        </w:rPr>
        <w:t></w:t>
      </w:r>
      <w:r w:rsidRPr="001D59AC">
        <w:rPr>
          <w:rFonts w:ascii="Wingdings 2" w:hAnsi="Wingdings 2" w:cs="Wingdings 2"/>
          <w:color w:val="000000"/>
        </w:rPr>
        <w:t></w:t>
      </w:r>
      <w:r w:rsidRPr="001D59AC">
        <w:rPr>
          <w:rFonts w:ascii="Calibri" w:hAnsi="Calibri" w:cs="Calibri"/>
          <w:color w:val="000000"/>
        </w:rPr>
        <w:t xml:space="preserve">Všichni žáci i zaměstnanci školy </w:t>
      </w:r>
      <w:r>
        <w:rPr>
          <w:rFonts w:ascii="Calibri" w:hAnsi="Calibri" w:cs="Calibri"/>
          <w:color w:val="000000"/>
        </w:rPr>
        <w:t xml:space="preserve">i další osoby </w:t>
      </w:r>
      <w:r w:rsidRPr="001D59AC">
        <w:rPr>
          <w:rFonts w:ascii="Calibri" w:hAnsi="Calibri" w:cs="Calibri"/>
          <w:color w:val="000000"/>
        </w:rPr>
        <w:t xml:space="preserve">nosí </w:t>
      </w:r>
      <w:r w:rsidRPr="00441311">
        <w:rPr>
          <w:rFonts w:ascii="Calibri" w:hAnsi="Calibri" w:cs="Calibri"/>
          <w:bCs/>
          <w:color w:val="000000"/>
        </w:rPr>
        <w:t>ve společných prostorách roušky</w:t>
      </w:r>
      <w:r w:rsidRPr="00441311">
        <w:rPr>
          <w:rFonts w:ascii="Calibri" w:hAnsi="Calibri" w:cs="Calibri"/>
          <w:color w:val="000000"/>
        </w:rPr>
        <w:t xml:space="preserve"> </w:t>
      </w:r>
    </w:p>
    <w:p w:rsidR="004D7A26" w:rsidRPr="00441311" w:rsidRDefault="004D7A26" w:rsidP="004D7A26">
      <w:pPr>
        <w:pStyle w:val="Bezmezer"/>
        <w:jc w:val="both"/>
        <w:rPr>
          <w:rFonts w:ascii="Calibri" w:hAnsi="Calibri" w:cs="Calibri"/>
          <w:color w:val="000000"/>
        </w:rPr>
      </w:pPr>
      <w:r w:rsidRPr="001D59AC">
        <w:rPr>
          <w:rFonts w:ascii="Wingdings 2" w:hAnsi="Wingdings 2" w:cs="Wingdings 2"/>
          <w:color w:val="000000"/>
        </w:rPr>
        <w:t></w:t>
      </w:r>
      <w:r w:rsidRPr="001D59AC">
        <w:rPr>
          <w:rFonts w:ascii="Wingdings 2" w:hAnsi="Wingdings 2" w:cs="Wingdings 2"/>
          <w:color w:val="000000"/>
        </w:rPr>
        <w:t></w:t>
      </w:r>
      <w:r w:rsidRPr="001D59AC">
        <w:rPr>
          <w:rFonts w:ascii="Calibri" w:hAnsi="Calibri" w:cs="Calibri"/>
          <w:color w:val="000000"/>
        </w:rPr>
        <w:t xml:space="preserve">Každý žák bude mít s sebou </w:t>
      </w:r>
      <w:r w:rsidRPr="00441311">
        <w:rPr>
          <w:rFonts w:ascii="Calibri" w:hAnsi="Calibri" w:cs="Calibri"/>
          <w:bCs/>
          <w:color w:val="000000"/>
        </w:rPr>
        <w:t>sáček na uložení roušky</w:t>
      </w:r>
      <w:r w:rsidRPr="00441311">
        <w:rPr>
          <w:rFonts w:ascii="Calibri" w:hAnsi="Calibri" w:cs="Calibri"/>
          <w:color w:val="000000"/>
        </w:rPr>
        <w:t xml:space="preserve">. </w:t>
      </w:r>
    </w:p>
    <w:p w:rsidR="004D7A26" w:rsidRDefault="004D7A26" w:rsidP="004D7A26">
      <w:pPr>
        <w:pStyle w:val="Bezmezer"/>
        <w:jc w:val="both"/>
        <w:rPr>
          <w:rFonts w:ascii="Calibri" w:hAnsi="Calibri" w:cs="Calibri"/>
          <w:color w:val="000000"/>
        </w:rPr>
      </w:pPr>
      <w:r w:rsidRPr="001D59AC">
        <w:rPr>
          <w:rFonts w:ascii="Wingdings 2" w:hAnsi="Wingdings 2" w:cs="Wingdings 2"/>
          <w:color w:val="000000"/>
        </w:rPr>
        <w:t></w:t>
      </w:r>
      <w:r w:rsidRPr="001D59AC">
        <w:rPr>
          <w:rFonts w:ascii="Wingdings 2" w:hAnsi="Wingdings 2" w:cs="Wingdings 2"/>
          <w:color w:val="000000"/>
        </w:rPr>
        <w:t></w:t>
      </w:r>
      <w:r w:rsidRPr="001D59AC">
        <w:rPr>
          <w:rFonts w:ascii="Calibri" w:hAnsi="Calibri" w:cs="Calibri"/>
          <w:color w:val="000000"/>
        </w:rPr>
        <w:t xml:space="preserve">Škola </w:t>
      </w:r>
      <w:r>
        <w:rPr>
          <w:rFonts w:ascii="Calibri" w:hAnsi="Calibri" w:cs="Calibri"/>
          <w:color w:val="000000"/>
        </w:rPr>
        <w:t xml:space="preserve">je oprávněna </w:t>
      </w:r>
      <w:r w:rsidRPr="001D59AC">
        <w:rPr>
          <w:rFonts w:ascii="Calibri" w:hAnsi="Calibri" w:cs="Calibri"/>
          <w:color w:val="000000"/>
        </w:rPr>
        <w:t>vymez</w:t>
      </w:r>
      <w:r>
        <w:rPr>
          <w:rFonts w:ascii="Calibri" w:hAnsi="Calibri" w:cs="Calibri"/>
          <w:color w:val="000000"/>
        </w:rPr>
        <w:t>it</w:t>
      </w:r>
      <w:r w:rsidRPr="001D59AC">
        <w:rPr>
          <w:rFonts w:ascii="Calibri" w:hAnsi="Calibri" w:cs="Calibri"/>
          <w:color w:val="000000"/>
        </w:rPr>
        <w:t xml:space="preserve"> prostory, ve kterých se žáci mohou pohybovat. </w:t>
      </w:r>
    </w:p>
    <w:p w:rsidR="004D7A26" w:rsidRDefault="004D7A26" w:rsidP="004D7A26">
      <w:pPr>
        <w:pStyle w:val="Bezmezer"/>
        <w:jc w:val="both"/>
        <w:rPr>
          <w:rFonts w:ascii="Calibri" w:hAnsi="Calibri" w:cs="Calibri"/>
          <w:color w:val="000000"/>
        </w:rPr>
      </w:pPr>
    </w:p>
    <w:p w:rsidR="004D7A26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4D7A26" w:rsidRPr="004D7A26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4D7A26">
        <w:rPr>
          <w:rFonts w:ascii="Calibri" w:hAnsi="Calibri" w:cs="Calibri"/>
          <w:b/>
          <w:color w:val="000000"/>
          <w:sz w:val="28"/>
          <w:szCs w:val="28"/>
        </w:rPr>
        <w:t>V budově školy: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Je nezbytné zajistit průběžný příchod žáků a jejich plynulý přesun do tříd.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Žáci z rizikových skupin budou vpuštěni do tříd jako první. </w:t>
      </w:r>
    </w:p>
    <w:p w:rsidR="004D7A26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Přestávku mezi jednotlivými zkouškami či testy se </w:t>
      </w:r>
      <w:r w:rsidRPr="00441311">
        <w:rPr>
          <w:b/>
        </w:rPr>
        <w:t xml:space="preserve">doporučuje </w:t>
      </w:r>
      <w:r w:rsidRPr="00441311">
        <w:rPr>
          <w:b/>
          <w:bCs/>
        </w:rPr>
        <w:t>trávit na školním pozemku, venku</w:t>
      </w:r>
      <w:r w:rsidRPr="00441311">
        <w:rPr>
          <w:b/>
        </w:rPr>
        <w:t>.</w:t>
      </w:r>
      <w:r w:rsidRPr="00441311">
        <w:t xml:space="preserve"> Před opuštěním třídy si všichni žáci na celou dobu mimo třídu nasadí roušky. V případě nepříznivého počasí </w:t>
      </w:r>
      <w:r>
        <w:t>je doporučeno</w:t>
      </w:r>
      <w:r w:rsidRPr="00441311">
        <w:t xml:space="preserve"> využít velkých prostor (například tělocvičny</w:t>
      </w:r>
      <w:r>
        <w:t>, chodby</w:t>
      </w:r>
      <w:r w:rsidRPr="00441311">
        <w:t xml:space="preserve">).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Toalety musí být vybaveny tekoucí pitnou vodou, mýdlem v dávkovači, nádobou na dezinfekci a jejím dávkovačem a jednorázovými papírovými ručníky pro bezpečné osušení rukou.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rPr>
          <w:bCs/>
        </w:rPr>
        <w:t>Škola zajistí ve spolupráci se zřizovatelem dostatečné množství dezinfekce</w:t>
      </w:r>
      <w:r w:rsidRPr="00441311">
        <w:rPr>
          <w:b/>
          <w:bCs/>
        </w:rPr>
        <w:t xml:space="preserve">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Nádoba na dezinfekci s dávkovačem a jednorázové papírové ubrousky pro bezpečné osušení rukou jsou umístěny před vstupem do školní jídelny (nejsou-li umyvadla), do místnosti určené pro izolaci osoby s podezřením na nákazu COVID 19 a před vstupem na další pracoviště určené pro praktické vyučování, do laboratoří apod.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Dezinfekční prostředky na ruce jsou přidělovány do tříd.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rPr>
          <w:bCs/>
        </w:rPr>
        <w:t>Časté větrání</w:t>
      </w:r>
      <w:r w:rsidRPr="00441311">
        <w:rPr>
          <w:b/>
          <w:bCs/>
        </w:rPr>
        <w:t xml:space="preserve"> </w:t>
      </w:r>
      <w:r w:rsidRPr="00441311">
        <w:t xml:space="preserve">je zásadním preventivním faktorem (minimálně jednou za hodinu po dobu 5 min).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rPr>
          <w:bCs/>
        </w:rPr>
        <w:t xml:space="preserve">Úklidový personál </w:t>
      </w:r>
      <w:r w:rsidRPr="00441311">
        <w:t xml:space="preserve">musí být informován a poučen o hygienických zásadách a o potřebě průběžného čištění a dezinfekce povrchů a předmětů.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rPr>
          <w:bCs/>
        </w:rPr>
        <w:t>Důkladné čištění všech místností</w:t>
      </w:r>
      <w:r w:rsidRPr="00441311">
        <w:t xml:space="preserve">, ve kterých se žáci, pedagogové a další pracovníci školy nacházejí, musí být prováděno nejméně jednou denně.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rPr>
          <w:bCs/>
        </w:rPr>
        <w:t>Dezinfekce povrchů nebo předmětů</w:t>
      </w:r>
      <w:r w:rsidRPr="00441311">
        <w:t xml:space="preserve">, které používá zvláště velký počet lidí, musí být prováděna několikrát denně (např. kliky dveří, spínače světla, klávesnice a počítačové myši, místa k sezení ve společných prostorách). Nutné je vyhnout se alergenním prostředkům. </w:t>
      </w:r>
    </w:p>
    <w:p w:rsidR="004D7A26" w:rsidRPr="00441311" w:rsidRDefault="004D7A26" w:rsidP="004D7A26">
      <w:pPr>
        <w:pStyle w:val="Bezmezer"/>
        <w:jc w:val="both"/>
      </w:pPr>
      <w:r w:rsidRPr="00441311">
        <w:rPr>
          <w:rFonts w:ascii="Wingdings 2" w:hAnsi="Wingdings 2" w:cs="Wingdings 2"/>
        </w:rPr>
        <w:t></w:t>
      </w:r>
      <w:r w:rsidRPr="00441311">
        <w:rPr>
          <w:rFonts w:ascii="Wingdings 2" w:hAnsi="Wingdings 2" w:cs="Wingdings 2"/>
        </w:rPr>
        <w:t></w:t>
      </w:r>
      <w:r w:rsidRPr="00441311">
        <w:t xml:space="preserve">Odpadkové koše se kontrolují průběžně; vyprázdněny musí být minimálně jednou denně. </w:t>
      </w:r>
    </w:p>
    <w:p w:rsidR="004D7A26" w:rsidRPr="004D7A26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4D7A26" w:rsidRPr="004D7A26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4D7A26">
        <w:rPr>
          <w:rFonts w:ascii="Calibri" w:hAnsi="Calibri" w:cs="Calibri"/>
          <w:b/>
          <w:color w:val="000000"/>
          <w:sz w:val="28"/>
          <w:szCs w:val="28"/>
        </w:rPr>
        <w:t>Písemné zkoušky a didaktické testy:</w:t>
      </w:r>
    </w:p>
    <w:p w:rsidR="004D7A26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>
        <w:t xml:space="preserve">Písemné zkoušky nebo didaktické testy probíhají obdobným způsobem organizace jako v předchozích letech. </w:t>
      </w:r>
    </w:p>
    <w:p w:rsidR="004D7A26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>
        <w:t xml:space="preserve">Vždy po příchodu do třídy musí každý použít dezinfekci na ruce. Doporučuje se i předchozí umytí rukou (důkladně 20 až 30 sekund vodou a tekutým mýdlem). </w:t>
      </w:r>
    </w:p>
    <w:p w:rsidR="004D7A26" w:rsidRPr="00C05862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 w:rsidRPr="00C05862">
        <w:rPr>
          <w:bCs/>
        </w:rPr>
        <w:t xml:space="preserve">Je nezbytné dodržet zásadu jeden žák v lavici ve třídě </w:t>
      </w:r>
      <w:r w:rsidRPr="00C05862">
        <w:t xml:space="preserve">a po dobu konání zkoušek bude dodržen totožný zasedací pořádek. </w:t>
      </w:r>
    </w:p>
    <w:p w:rsidR="004D7A26" w:rsidRPr="00C05862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 w:rsidRPr="00C05862">
        <w:rPr>
          <w:bCs/>
        </w:rPr>
        <w:t xml:space="preserve">Žáci z rizikových skupin budou v místnosti, kde probíhá zkouška, rozsazeni přednostně na místa nejdále od dveří a pokud možno u oken. </w:t>
      </w:r>
    </w:p>
    <w:p w:rsidR="004D7A26" w:rsidRPr="00C05862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 w:rsidRPr="00C05862">
        <w:rPr>
          <w:bCs/>
        </w:rPr>
        <w:t xml:space="preserve">Po dobu, kdy jsou žáci usazeni v lavicích, nemusí mít nasazenou roušku; po tuto dobu nemusí mít roušku nasazenou ani přítomný pedagog. </w:t>
      </w:r>
    </w:p>
    <w:p w:rsidR="004D7A26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>
        <w:t xml:space="preserve">Při sejmutí roušky si každý žák ukládá svou roušku do sáčku. </w:t>
      </w:r>
    </w:p>
    <w:p w:rsidR="004D7A26" w:rsidRPr="00C05862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 w:rsidRPr="00C05862">
        <w:rPr>
          <w:bCs/>
        </w:rPr>
        <w:t xml:space="preserve">Je nutné zajistit takové rozmístění lavic </w:t>
      </w:r>
      <w:r w:rsidRPr="00C05862">
        <w:t xml:space="preserve">ve třídě, které umožní dodržet doporučený odstup mezi žáky – 2 m (nejméně 1,5 m) – například viz obrázek.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rPr>
          <w:bCs/>
        </w:rPr>
        <w:t>Každá třída je před a po bloku testů vyvětrána</w:t>
      </w:r>
      <w:r w:rsidRPr="00C05862">
        <w:t xml:space="preserve">. </w:t>
      </w:r>
    </w:p>
    <w:p w:rsidR="004D7A26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ascii="Wingdings 2" w:hAnsi="Wingdings 2" w:cs="Wingdings 2"/>
          <w:color w:val="000000"/>
          <w:sz w:val="24"/>
          <w:szCs w:val="24"/>
        </w:rPr>
      </w:pPr>
    </w:p>
    <w:p w:rsidR="004D7A26" w:rsidRPr="004D7A26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4D7A26">
        <w:rPr>
          <w:rFonts w:cstheme="minorHAnsi"/>
          <w:b/>
          <w:color w:val="000000"/>
          <w:sz w:val="28"/>
          <w:szCs w:val="28"/>
        </w:rPr>
        <w:t>Ústní zkoušky: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Vždy po příchodu do třídy musí každý použít dezinfekci na ruce. Doporučuje se i předchozí umytí rukou (důkladně 20 až 30 sekund vodou a tekutým mýdlem).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rPr>
          <w:bCs/>
        </w:rPr>
        <w:t xml:space="preserve">Maximální počet osob ve třídě je 15. V místnosti, kde probíhá ústní zkouška, jsou přítomni zejména členové zkušební komise, zkoušený žák a připravující se žák. Dále mohou být při ústní zkoušce maturitní zkoušky, závěrečné zkoušky a absolutoria přítomni v rámci zásady veřejnosti ústní zkoušky další osoby splňující stanovené hygienické požadavky, nejvýše však do počtu 15 osob. Prostor pro účast veřejnosti by měl být vymezen ve větším odstupu než 2 m, pokud je to možné.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rPr>
          <w:bCs/>
        </w:rPr>
        <w:t>V průběhu ústní zkoušky konané v rámci přijímací zkoušky, maturitní zkoušky, závěrečné zkoušky či absolutoria nemusí žáci ani členové zkušební komise či přítomní pedagogové nosit roušku</w:t>
      </w:r>
      <w:r>
        <w:rPr>
          <w:bCs/>
          <w:sz w:val="15"/>
          <w:szCs w:val="15"/>
        </w:rPr>
        <w:t>.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lastRenderedPageBreak/>
        <w:t></w:t>
      </w:r>
      <w:r w:rsidRPr="00C05862">
        <w:rPr>
          <w:rFonts w:ascii="Wingdings 2" w:hAnsi="Wingdings 2" w:cs="Wingdings 2"/>
        </w:rPr>
        <w:t></w:t>
      </w:r>
      <w:r w:rsidRPr="00C05862">
        <w:rPr>
          <w:bCs/>
        </w:rPr>
        <w:t xml:space="preserve">Pro ústní zkoušky je vhodné zachovat rozestup 2 m (nejméně 1,5 m). Pokud dochází k bližšímu kontaktu (např. při skupinové práci), musí se roušky nosit i ve třídě.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Při sejmutí roušky si každý žák ukládá svou roušku do sáčku.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Při volbě otázek je nutné dodržet zvýšený hygienický standard (např. rukavice).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Během zkoušky používá žák vlastní psací potřeby.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V případě nástrojů nebo předmětů, které používá větší počet osob, musí být prováděno čištění a ošetřování častěji než standardně, a to tak, aby nedošlo k jejich poškození.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rPr>
          <w:bCs/>
        </w:rPr>
        <w:t xml:space="preserve">Každá třída je každou hodinu vyvětrána </w:t>
      </w:r>
      <w:r w:rsidRPr="00C05862">
        <w:t xml:space="preserve">(minimálně po dobu 5 min) a povrchy lavic (stolů) a židlí jsou po výměně zkoušeného žáka ošetřeny dezinfekcí </w:t>
      </w:r>
    </w:p>
    <w:p w:rsidR="004D7A26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D7A26" w:rsidRPr="004D7A26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4D7A26">
        <w:rPr>
          <w:rFonts w:cstheme="minorHAnsi"/>
          <w:b/>
          <w:color w:val="000000"/>
          <w:sz w:val="28"/>
          <w:szCs w:val="28"/>
        </w:rPr>
        <w:t>Praktické zkoušky:</w:t>
      </w:r>
    </w:p>
    <w:p w:rsidR="004D7A26" w:rsidRDefault="004D7A26" w:rsidP="004D7A26">
      <w:pPr>
        <w:pStyle w:val="Bezmezer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 w:rsidRPr="00C05862">
        <w:rPr>
          <w:bCs/>
          <w:sz w:val="23"/>
          <w:szCs w:val="23"/>
        </w:rPr>
        <w:t xml:space="preserve">Vždy </w:t>
      </w:r>
      <w:r w:rsidRPr="00C05862">
        <w:rPr>
          <w:sz w:val="23"/>
          <w:szCs w:val="23"/>
        </w:rPr>
        <w:t>po příchodu do místnosti musí každý použít dezinfekci na ruce. Doporučuje se i předchozí umytí rukou (důkladně 20 až 30 sekund vodou a tekutým mýdlem).</w:t>
      </w:r>
      <w:r>
        <w:rPr>
          <w:sz w:val="23"/>
          <w:szCs w:val="23"/>
        </w:rPr>
        <w:t xml:space="preserve"> </w:t>
      </w:r>
    </w:p>
    <w:p w:rsidR="004D7A26" w:rsidRPr="00C05862" w:rsidRDefault="004D7A26" w:rsidP="004D7A26">
      <w:pPr>
        <w:pStyle w:val="Bezmezer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 w:rsidRPr="00C05862">
        <w:rPr>
          <w:bCs/>
          <w:sz w:val="23"/>
          <w:szCs w:val="23"/>
        </w:rPr>
        <w:t xml:space="preserve">Maximální počet osob ve skupině je 15. </w:t>
      </w:r>
    </w:p>
    <w:p w:rsidR="004D7A26" w:rsidRPr="00C05862" w:rsidRDefault="004D7A26" w:rsidP="004D7A26">
      <w:pPr>
        <w:pStyle w:val="Bezmezer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 w:rsidRPr="00C05862">
        <w:rPr>
          <w:bCs/>
          <w:sz w:val="23"/>
          <w:szCs w:val="23"/>
        </w:rPr>
        <w:t xml:space="preserve">Pokud to charakter praktické zkoušky umožňuje, doporučuje se zachovat rozestup 2 m (nejméně 1,5 m), pak při praktické zkoušce nemusí žáci ani pedagogové nosit roušku. Pokud dochází k bližšímu kontaktu (např. při skupinové práci), musí se roušky nosit. </w:t>
      </w:r>
    </w:p>
    <w:p w:rsidR="004D7A26" w:rsidRPr="00C05862" w:rsidRDefault="004D7A26" w:rsidP="004D7A26">
      <w:pPr>
        <w:pStyle w:val="Bezmezer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 w:rsidRPr="00C05862">
        <w:rPr>
          <w:bCs/>
          <w:sz w:val="23"/>
          <w:szCs w:val="23"/>
        </w:rPr>
        <w:t xml:space="preserve">Při praktických zkouškách maturitní zkoušky, závěrečné zkoušky či absolutoria se v souladu s § 74 odst. 5 školského zákona z důvodu ochrany zdraví veřejnost nepřipouští. </w:t>
      </w:r>
    </w:p>
    <w:p w:rsidR="004D7A26" w:rsidRDefault="004D7A26" w:rsidP="004D7A26">
      <w:pPr>
        <w:pStyle w:val="Bezmezer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Při realizaci praktické zkoušky je nutné dodržovat také zvýšené hygienické podmínky aktuálně stanovené pro provoz jednotlivých pracovišť dle druhu vykonávané činnosti – například kosmetické, kadeřnické, stravovací služby apod., a to ve vazbě na doporučení </w:t>
      </w:r>
      <w:proofErr w:type="spellStart"/>
      <w:r>
        <w:rPr>
          <w:sz w:val="23"/>
          <w:szCs w:val="23"/>
        </w:rPr>
        <w:t>MZd</w:t>
      </w:r>
      <w:proofErr w:type="spellEnd"/>
      <w:r>
        <w:rPr>
          <w:sz w:val="23"/>
          <w:szCs w:val="23"/>
        </w:rPr>
        <w:t xml:space="preserve"> (například odkaz: https://koronavirus.mzcr.cz/uvolnovani-opatreni/) nebo jiných věcně příslušných resortů. </w:t>
      </w:r>
    </w:p>
    <w:p w:rsidR="004D7A26" w:rsidRDefault="004D7A26" w:rsidP="004D7A26">
      <w:pPr>
        <w:pStyle w:val="Bezmezer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Současně je potřeba dbát na to, aby mezi žáky navzájem a dalšími osobami účastnícími se praktické zkoušky docházelo ke kontrolovanému předávání nářadí, měřidel, materiálů a jiných nástrojů s možným využitím dezinfekce. </w:t>
      </w:r>
    </w:p>
    <w:p w:rsidR="004D7A26" w:rsidRDefault="004D7A26" w:rsidP="004D7A26">
      <w:pPr>
        <w:pStyle w:val="Bezmezer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Při sejmutí roušky si každý žák ukládá svou roušku do sáčku. </w:t>
      </w:r>
    </w:p>
    <w:p w:rsidR="004D7A26" w:rsidRPr="00C05862" w:rsidRDefault="004D7A26" w:rsidP="004D7A26">
      <w:pPr>
        <w:pStyle w:val="Bezmezer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 w:rsidRPr="00C05862">
        <w:rPr>
          <w:bCs/>
          <w:sz w:val="23"/>
          <w:szCs w:val="23"/>
        </w:rPr>
        <w:t xml:space="preserve">Každá místnost je pravidelně vyvětrána </w:t>
      </w:r>
      <w:r w:rsidRPr="00C05862">
        <w:rPr>
          <w:sz w:val="23"/>
          <w:szCs w:val="23"/>
        </w:rPr>
        <w:t xml:space="preserve">(minimálně po dobu 5 min) a povrchy stolů a židlí jsou po výměně zkoušeného žáka ošetřeny dezinfekcí. </w:t>
      </w:r>
    </w:p>
    <w:p w:rsidR="004D7A26" w:rsidRPr="00441311" w:rsidRDefault="004D7A26" w:rsidP="004D7A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D7A26" w:rsidRDefault="004D7A26" w:rsidP="004D7A26">
      <w:pPr>
        <w:pStyle w:val="Bezmezer"/>
        <w:jc w:val="both"/>
        <w:rPr>
          <w:b/>
          <w:sz w:val="28"/>
          <w:szCs w:val="28"/>
        </w:rPr>
      </w:pPr>
    </w:p>
    <w:p w:rsidR="004D7A26" w:rsidRPr="004D7A26" w:rsidRDefault="004D7A26" w:rsidP="004D7A26">
      <w:pPr>
        <w:pStyle w:val="Bezmezer"/>
        <w:jc w:val="both"/>
        <w:rPr>
          <w:b/>
          <w:sz w:val="28"/>
          <w:szCs w:val="28"/>
        </w:rPr>
      </w:pPr>
      <w:r w:rsidRPr="004D7A26">
        <w:rPr>
          <w:b/>
          <w:sz w:val="28"/>
          <w:szCs w:val="28"/>
        </w:rPr>
        <w:t>Osoby s rizikovými faktory:</w:t>
      </w:r>
    </w:p>
    <w:p w:rsidR="004D7A26" w:rsidRPr="00C05862" w:rsidRDefault="004D7A26" w:rsidP="004D7A26">
      <w:pPr>
        <w:pStyle w:val="Bezmezer"/>
        <w:jc w:val="both"/>
      </w:pPr>
      <w:r w:rsidRPr="00C05862">
        <w:t xml:space="preserve">Ministerstvo zdravotnictví stanovilo následující rizikové faktory: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Věk nad 65 let s přidruženými chronickými chorobami.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Chronické onemocnění plic (zahrnuje i středně závažné a závažné astma </w:t>
      </w:r>
      <w:proofErr w:type="spellStart"/>
      <w:r w:rsidRPr="00C05862">
        <w:t>bronchiale</w:t>
      </w:r>
      <w:proofErr w:type="spellEnd"/>
      <w:r w:rsidRPr="00C05862">
        <w:t xml:space="preserve">) s dlouhodobou systémovou farmakologickou léčbou.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Onemocnění srdce a/nebo velkých cév s dlouhodobou systémovou farmakologickou léčbou např. hypertenze.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Porucha imunitního systému, např.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Courier New" w:hAnsi="Courier New" w:cs="Courier New"/>
        </w:rPr>
        <w:t xml:space="preserve">o </w:t>
      </w:r>
      <w:r w:rsidRPr="00C05862">
        <w:t xml:space="preserve">při imunosupresivní léčbě (steroidy, HIV apod.),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Courier New" w:hAnsi="Courier New" w:cs="Courier New"/>
        </w:rPr>
        <w:t xml:space="preserve">o </w:t>
      </w:r>
      <w:r w:rsidRPr="00C05862">
        <w:t xml:space="preserve">při protinádorové léčbě,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Courier New" w:hAnsi="Courier New" w:cs="Courier New"/>
        </w:rPr>
        <w:t xml:space="preserve">o </w:t>
      </w:r>
      <w:r w:rsidRPr="00C05862">
        <w:t xml:space="preserve">po transplantaci solidních orgánů a/nebo kostní dřeně,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Těžká obezita (BMI nad 40 kg/m2).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Farmakologicky léčený diabetes </w:t>
      </w:r>
      <w:proofErr w:type="spellStart"/>
      <w:r w:rsidRPr="00C05862">
        <w:t>mellitus</w:t>
      </w:r>
      <w:proofErr w:type="spellEnd"/>
      <w:r w:rsidRPr="00C05862">
        <w:t xml:space="preserve">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Chronické onemocnění ledvin vyžadující dočasnou nebo trvalou podporu/náhradu funkce ledvin (dialýza). </w:t>
      </w:r>
    </w:p>
    <w:p w:rsidR="004D7A26" w:rsidRPr="00C05862" w:rsidRDefault="004D7A26" w:rsidP="004D7A26">
      <w:pPr>
        <w:pStyle w:val="Bezmezer"/>
        <w:jc w:val="both"/>
      </w:pPr>
      <w:r w:rsidRPr="00C05862">
        <w:rPr>
          <w:rFonts w:ascii="Wingdings 2" w:hAnsi="Wingdings 2" w:cs="Wingdings 2"/>
        </w:rPr>
        <w:t></w:t>
      </w:r>
      <w:r w:rsidRPr="00C05862">
        <w:rPr>
          <w:rFonts w:ascii="Wingdings 2" w:hAnsi="Wingdings 2" w:cs="Wingdings 2"/>
        </w:rPr>
        <w:t></w:t>
      </w:r>
      <w:r w:rsidRPr="00C05862">
        <w:t xml:space="preserve">Onemocnění jater (primární nebo sekundární). </w:t>
      </w:r>
    </w:p>
    <w:p w:rsidR="004D7A26" w:rsidRPr="004D7A26" w:rsidRDefault="004D7A26" w:rsidP="004D7A26">
      <w:pPr>
        <w:pStyle w:val="Bezmezer"/>
        <w:jc w:val="both"/>
        <w:rPr>
          <w:b/>
          <w:sz w:val="28"/>
          <w:szCs w:val="28"/>
        </w:rPr>
      </w:pPr>
    </w:p>
    <w:p w:rsidR="004D7A26" w:rsidRDefault="004D7A26" w:rsidP="004D7A26">
      <w:pPr>
        <w:pStyle w:val="Bezmezer"/>
        <w:jc w:val="both"/>
        <w:rPr>
          <w:b/>
          <w:sz w:val="28"/>
          <w:szCs w:val="28"/>
        </w:rPr>
      </w:pPr>
    </w:p>
    <w:p w:rsidR="004D7A26" w:rsidRDefault="004D7A26" w:rsidP="004D7A26">
      <w:pPr>
        <w:pStyle w:val="Bezmezer"/>
        <w:jc w:val="both"/>
        <w:rPr>
          <w:b/>
          <w:sz w:val="28"/>
          <w:szCs w:val="28"/>
        </w:rPr>
      </w:pPr>
    </w:p>
    <w:p w:rsidR="004D7A26" w:rsidRPr="004D7A26" w:rsidRDefault="004D7A26" w:rsidP="004D7A26">
      <w:pPr>
        <w:pStyle w:val="Bezmezer"/>
        <w:jc w:val="both"/>
        <w:rPr>
          <w:b/>
          <w:sz w:val="28"/>
          <w:szCs w:val="28"/>
        </w:rPr>
      </w:pPr>
      <w:r w:rsidRPr="004D7A26">
        <w:rPr>
          <w:b/>
          <w:sz w:val="28"/>
          <w:szCs w:val="28"/>
        </w:rPr>
        <w:lastRenderedPageBreak/>
        <w:t>Pravidla pro případ, kdy žák patří do rizikové skupiny:</w:t>
      </w:r>
    </w:p>
    <w:p w:rsidR="004D7A26" w:rsidRDefault="004D7A26" w:rsidP="004D7A26">
      <w:pPr>
        <w:pStyle w:val="Bezmezer"/>
        <w:jc w:val="both"/>
      </w:pPr>
      <w:r>
        <w:t xml:space="preserve">Do rizikové skupiny patří žák, který osobně naplňuje alespoň jeden bod (2–8) uvedený výše nebo pokud některý z bodů naplňuje jakákoliv osoba, která s ním žije ve společné domácnosti. </w:t>
      </w:r>
    </w:p>
    <w:p w:rsidR="004D7A26" w:rsidRDefault="004D7A26" w:rsidP="004D7A26">
      <w:pPr>
        <w:pStyle w:val="Bezmezer"/>
        <w:jc w:val="both"/>
      </w:pPr>
      <w:r>
        <w:t xml:space="preserve">Před prvním vstupem do školy žák předkládá toto podepsané prohlášení: </w:t>
      </w:r>
    </w:p>
    <w:p w:rsidR="004D7A26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>
        <w:t xml:space="preserve">písemné seznámení s vymezením rizikových skupin stanovených Ministerstvem zdravotnictví, a </w:t>
      </w:r>
    </w:p>
    <w:p w:rsidR="004D7A26" w:rsidRDefault="004D7A26" w:rsidP="004D7A26">
      <w:pPr>
        <w:pStyle w:val="Bezmezer"/>
        <w:jc w:val="both"/>
      </w:pPr>
      <w:r>
        <w:rPr>
          <w:rFonts w:ascii="Wingdings 2" w:hAnsi="Wingdings 2" w:cs="Wingdings 2"/>
        </w:rPr>
        <w:t></w:t>
      </w:r>
      <w:r>
        <w:rPr>
          <w:rFonts w:ascii="Wingdings 2" w:hAnsi="Wingdings 2" w:cs="Wingdings 2"/>
        </w:rPr>
        <w:t></w:t>
      </w:r>
      <w:r>
        <w:t xml:space="preserve">písemné čestné prohlášení o neexistenci příznaků virového infekčního onemocnění (např. horečka, kašel, dušnost, náhlá ztráta chuti a čichu apod.). </w:t>
      </w:r>
    </w:p>
    <w:p w:rsidR="004D7A26" w:rsidRDefault="004D7A26" w:rsidP="004D7A26">
      <w:pPr>
        <w:pStyle w:val="Bezmezer"/>
        <w:jc w:val="both"/>
      </w:pPr>
      <w:r>
        <w:t xml:space="preserve">Žák, který spadá do vymezené rizikové skupiny, má právo přijít na písemnou zkoušku dříve než ostatní uchazeči a bude přednostně vpuštěn do budovy a usazen tak, aby byla v maximální míře zajištěna jeho ochrana zdraví, tedy co nejdále ode dveří a co nejblíže k oknu. Stejně tak by měl žák opustit místnost mezi posledními a maximálně tak omezit interakci s ostatními. </w:t>
      </w:r>
    </w:p>
    <w:p w:rsidR="004D7A26" w:rsidRDefault="004D7A26" w:rsidP="004D7A26">
      <w:pPr>
        <w:pStyle w:val="Bezmezer"/>
        <w:jc w:val="both"/>
      </w:pPr>
      <w:r>
        <w:t xml:space="preserve">U ústních zkoušek by měli být žáci, kteří spadají do rizikové skupiny, přednostně vyzkoušeni a co nejdříve po zkoušce by měli opustit budovu školy. </w:t>
      </w:r>
    </w:p>
    <w:p w:rsidR="004D7A26" w:rsidRDefault="004D7A26" w:rsidP="004D7A26">
      <w:pPr>
        <w:pStyle w:val="Bezmezer"/>
        <w:jc w:val="both"/>
      </w:pPr>
      <w:r>
        <w:t>U praktických zkoušek se použijí výše uvedená opatření pro žáky patřících do rizikových skupin podle podmínek místa výkonu praktických zkoušek přiměřeným způsobem.</w:t>
      </w:r>
    </w:p>
    <w:p w:rsidR="004D7A26" w:rsidRDefault="004D7A26" w:rsidP="004D7A26">
      <w:pPr>
        <w:pStyle w:val="Bezmezer"/>
        <w:jc w:val="both"/>
        <w:rPr>
          <w:b/>
          <w:bCs/>
          <w:sz w:val="23"/>
          <w:szCs w:val="23"/>
        </w:rPr>
      </w:pPr>
    </w:p>
    <w:p w:rsidR="004D7A26" w:rsidRPr="004D7A26" w:rsidRDefault="004D7A26" w:rsidP="004D7A26">
      <w:pPr>
        <w:pStyle w:val="Bezmezer"/>
        <w:jc w:val="both"/>
        <w:rPr>
          <w:b/>
          <w:bCs/>
          <w:sz w:val="28"/>
          <w:szCs w:val="28"/>
        </w:rPr>
      </w:pPr>
      <w:r w:rsidRPr="004D7A26">
        <w:rPr>
          <w:b/>
          <w:bCs/>
          <w:sz w:val="28"/>
          <w:szCs w:val="28"/>
        </w:rPr>
        <w:t xml:space="preserve">Pravidla pro případ, kdy zkoušený žák má příznaky infekce dýchacích cest, které by mohly odpovídat infekci novým </w:t>
      </w:r>
      <w:proofErr w:type="spellStart"/>
      <w:r w:rsidRPr="004D7A26">
        <w:rPr>
          <w:b/>
          <w:bCs/>
          <w:sz w:val="28"/>
          <w:szCs w:val="28"/>
        </w:rPr>
        <w:t>koronavirem</w:t>
      </w:r>
      <w:proofErr w:type="spellEnd"/>
      <w:r w:rsidRPr="004D7A26">
        <w:rPr>
          <w:b/>
          <w:bCs/>
          <w:sz w:val="28"/>
          <w:szCs w:val="28"/>
        </w:rPr>
        <w:t>:</w:t>
      </w:r>
    </w:p>
    <w:p w:rsidR="004D7A26" w:rsidRPr="00263234" w:rsidRDefault="004D7A26" w:rsidP="004D7A26">
      <w:pPr>
        <w:pStyle w:val="Default"/>
        <w:jc w:val="both"/>
        <w:rPr>
          <w:sz w:val="23"/>
          <w:szCs w:val="23"/>
          <w:u w:val="single"/>
        </w:rPr>
      </w:pPr>
      <w:r w:rsidRPr="00263234">
        <w:rPr>
          <w:sz w:val="23"/>
          <w:szCs w:val="23"/>
          <w:u w:val="single"/>
        </w:rPr>
        <w:t xml:space="preserve">Žák má před zkouškou příznaky infekce dýchacích cest: 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Pokud žák má konat příslušné zkoušky a má příznaky infekce dýchacích cest, které by mohly odpovídat infekci novým </w:t>
      </w:r>
      <w:proofErr w:type="spellStart"/>
      <w:r>
        <w:rPr>
          <w:sz w:val="23"/>
          <w:szCs w:val="23"/>
        </w:rPr>
        <w:t>koronavirem</w:t>
      </w:r>
      <w:proofErr w:type="spellEnd"/>
      <w:r>
        <w:rPr>
          <w:sz w:val="23"/>
          <w:szCs w:val="23"/>
        </w:rPr>
        <w:t xml:space="preserve"> (zejména zvýšená tělesná teplota, kašel, dušnost, zažívací obtíže, ztráta čichu, celková slabost, případně další příznaky), nesmí do školy vstupovat. Žák svoji nepřítomnost řádně omluví nejpozději do 3 pracovních dnů od termínu konání zkoušky řediteli školy (student vyšší odborné školy předsedovi zkušební komise); nedodržení stanovené lhůty může v závažných případech ředitel školy (předseda zkušební komise u absolutoria) prominout. Potom má žák právo konat náhradní zkoušku v termínu stanovené prováděcím právním předpisem. </w:t>
      </w:r>
    </w:p>
    <w:p w:rsidR="004D7A26" w:rsidRPr="00263234" w:rsidRDefault="004D7A26" w:rsidP="004D7A26">
      <w:pPr>
        <w:pStyle w:val="Default"/>
        <w:jc w:val="both"/>
        <w:rPr>
          <w:sz w:val="23"/>
          <w:szCs w:val="23"/>
          <w:u w:val="single"/>
        </w:rPr>
      </w:pPr>
      <w:r w:rsidRPr="00263234">
        <w:rPr>
          <w:sz w:val="23"/>
          <w:szCs w:val="23"/>
          <w:u w:val="single"/>
        </w:rPr>
        <w:t xml:space="preserve">Příznaky infekce dýchacích cest se objeví v průběhu zkoušky: </w:t>
      </w:r>
    </w:p>
    <w:p w:rsidR="004D7A26" w:rsidRDefault="004D7A26" w:rsidP="004D7A26">
      <w:pPr>
        <w:pStyle w:val="Default"/>
        <w:spacing w:after="54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Pokud se příznaky objeví v průběhu vlastní zkoušky, postupuje se obdobně jako v případě jiné zdravotní indispozice na straně žáka. </w:t>
      </w:r>
    </w:p>
    <w:p w:rsidR="004D7A26" w:rsidRDefault="004D7A26" w:rsidP="004D7A26">
      <w:pPr>
        <w:pStyle w:val="Default"/>
        <w:spacing w:after="54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Situaci na místě řeší ředitel školy v součinnosti se členy zkušební komise. 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V případě, že se jedná o nezletilého žáka, je nutné okamžitě kontaktovat zákonného zástupce a dohodnout se na převzetí žáka. Pro tyto případy je účelné mít vyčleněný vhodný prostor (místnost), kde žák pod dozorem vyčká příchodu zákonného zástupce. 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O této situaci ředitel školy informuje spádovou hygienickou stanici. </w:t>
      </w:r>
    </w:p>
    <w:p w:rsidR="004D7A26" w:rsidRDefault="004D7A26" w:rsidP="004D7A26">
      <w:pPr>
        <w:pStyle w:val="Default"/>
        <w:spacing w:after="56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Tato skutečnost se uvede do protokolu. 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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Žák svoji nepřítomnost řádně omluví nejpozději do 3 pracovních dnů od termínu konání zkoušky řediteli školy (student vyšší odborné školy předsedovi zkušební komise); nedodržení stanovené lhůty může v závažných případech ředitel školy (předseda zkušební komise u absolutoria) prominout. Potom má žák právo konat náhradní zkoušku v termínu stanovené prováděcím právním předpisem. </w:t>
      </w:r>
    </w:p>
    <w:p w:rsidR="004D7A26" w:rsidRDefault="004D7A26" w:rsidP="004D7A26">
      <w:pPr>
        <w:pStyle w:val="Bezmezer"/>
        <w:jc w:val="both"/>
        <w:rPr>
          <w:b/>
          <w:bCs/>
          <w:sz w:val="23"/>
          <w:szCs w:val="23"/>
        </w:rPr>
      </w:pPr>
    </w:p>
    <w:p w:rsidR="004D7A26" w:rsidRPr="004D7A26" w:rsidRDefault="004D7A26" w:rsidP="004D7A26">
      <w:pPr>
        <w:pStyle w:val="Bezmezer"/>
        <w:jc w:val="both"/>
        <w:rPr>
          <w:b/>
          <w:sz w:val="28"/>
          <w:szCs w:val="28"/>
        </w:rPr>
      </w:pPr>
      <w:r w:rsidRPr="004D7A26">
        <w:rPr>
          <w:b/>
          <w:sz w:val="28"/>
          <w:szCs w:val="28"/>
        </w:rPr>
        <w:t>Pravidla pro případ, kdy zaměstnanec školy patří do rizikové skupiny: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rizikové skupiny patří zaměstnanec školy, který osobně naplňuje alespoň jeden bod uvedený výše nebo pokud některý z bodů naplňuje jakákoliv osoba, která s ním žije ve společné domácnosti. 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Doporučuje se, aby zaměstnanci zvážili tyto rizikové faktory, pokud se na ně vztahují, a v případě přítomnosti ve škole pak věnovali zvýšenou pozornost při ochraně svého zdraví. 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Ředitel školy zajistí důsledné dodržování hygienických doporučení pro provoz školy a organizaci pobytu žáků ve škole. 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Zaměstnanci, včetně zaměstnanců náležejících do rizikové skupiny, i nadále plní pracovněprávní povinnosti vyplývající z pracovněprávního vztahu. </w:t>
      </w:r>
    </w:p>
    <w:p w:rsidR="004D7A26" w:rsidRDefault="004D7A26" w:rsidP="004D7A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Je-li to organizačně možné, může ředitel školy zaměstnancům patřícím do rizikové skupiny, kteří přichází při výkonu práce do přímého kontaktu s větším množstvím dalších osob, umožnit na jejich žádost úpravu způsobu výkonu pracovních povinností, v případě přijímacích zkoušek, závěrečných zkoušek, maturitních zkoušek a absolutorií, je vybavit efektivnějšími ochrannými pomůckami. </w:t>
      </w:r>
    </w:p>
    <w:p w:rsidR="004D7A26" w:rsidRDefault="004D7A26" w:rsidP="004D7A26">
      <w:pPr>
        <w:pStyle w:val="Bezmezer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Není-li taková úprava pracovních povinností organizačně možná, měl by zaměstnanec doložit, že patří do rizikové skupiny </w:t>
      </w:r>
      <w:r>
        <w:rPr>
          <w:i/>
          <w:iCs/>
          <w:sz w:val="23"/>
          <w:szCs w:val="23"/>
        </w:rPr>
        <w:t>(potvrzením od lékaře)</w:t>
      </w:r>
      <w:r>
        <w:rPr>
          <w:sz w:val="23"/>
          <w:szCs w:val="23"/>
        </w:rPr>
        <w:t xml:space="preserve">, a v návaznosti na to se lze se zaměstnancem dohodnout na poskytnutí neplaceného volna </w:t>
      </w:r>
      <w:r>
        <w:rPr>
          <w:i/>
          <w:iCs/>
          <w:sz w:val="23"/>
          <w:szCs w:val="23"/>
        </w:rPr>
        <w:t>(pracovního volna bez náhrady mzdy nebo platu)</w:t>
      </w:r>
      <w:r>
        <w:rPr>
          <w:sz w:val="23"/>
          <w:szCs w:val="23"/>
        </w:rPr>
        <w:t>.</w:t>
      </w:r>
    </w:p>
    <w:p w:rsidR="004D7A26" w:rsidRDefault="004D7A26" w:rsidP="004D7A26">
      <w:pPr>
        <w:pStyle w:val="Bezmezer"/>
        <w:jc w:val="both"/>
        <w:rPr>
          <w:b/>
          <w:bCs/>
          <w:sz w:val="23"/>
          <w:szCs w:val="23"/>
        </w:rPr>
      </w:pPr>
    </w:p>
    <w:p w:rsidR="004D7A26" w:rsidRPr="000109CF" w:rsidRDefault="004D7A26" w:rsidP="004D7A26">
      <w:pPr>
        <w:pStyle w:val="Bezmezer"/>
        <w:jc w:val="both"/>
        <w:rPr>
          <w:rFonts w:ascii="Wingdings 2" w:hAnsi="Wingdings 2" w:cs="Wingdings 2"/>
        </w:rPr>
      </w:pPr>
      <w:r w:rsidRPr="000109CF">
        <w:t xml:space="preserve"> </w:t>
      </w:r>
    </w:p>
    <w:p w:rsidR="004D7A26" w:rsidRPr="001D59AC" w:rsidRDefault="004D7A26" w:rsidP="004D7A26">
      <w:pPr>
        <w:jc w:val="both"/>
        <w:rPr>
          <w:rFonts w:cstheme="minorHAnsi"/>
          <w:b/>
        </w:rPr>
      </w:pPr>
    </w:p>
    <w:p w:rsidR="00224D9C" w:rsidRDefault="00224D9C" w:rsidP="00224D9C">
      <w:pPr>
        <w:pStyle w:val="Bezmezer"/>
      </w:pPr>
      <w:r>
        <w:t>V Hořicích dne 22. května 2020</w:t>
      </w:r>
    </w:p>
    <w:p w:rsidR="00224D9C" w:rsidRDefault="00224D9C" w:rsidP="00224D9C">
      <w:pPr>
        <w:pStyle w:val="Bezmezer"/>
      </w:pPr>
    </w:p>
    <w:p w:rsidR="00224D9C" w:rsidRDefault="00224D9C" w:rsidP="00224D9C">
      <w:pPr>
        <w:pStyle w:val="Bezmezer"/>
      </w:pPr>
    </w:p>
    <w:p w:rsidR="00224D9C" w:rsidRDefault="00224D9C" w:rsidP="00224D9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Stanislav Neuman</w:t>
      </w:r>
    </w:p>
    <w:p w:rsidR="00224D9C" w:rsidRDefault="00224D9C" w:rsidP="00224D9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ředitel školy </w:t>
      </w:r>
    </w:p>
    <w:p w:rsidR="00C010A3" w:rsidRDefault="00C010A3" w:rsidP="004D7A26">
      <w:pPr>
        <w:pStyle w:val="Bezmezer"/>
      </w:pPr>
    </w:p>
    <w:sectPr w:rsidR="00C010A3" w:rsidSect="0045511C">
      <w:headerReference w:type="default" r:id="rId9"/>
      <w:footerReference w:type="default" r:id="rId10"/>
      <w:pgSz w:w="11906" w:h="16838"/>
      <w:pgMar w:top="720" w:right="720" w:bottom="720" w:left="720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27" w:rsidRDefault="00600927" w:rsidP="00132FBE">
      <w:pPr>
        <w:spacing w:after="0" w:line="240" w:lineRule="auto"/>
      </w:pPr>
      <w:r>
        <w:separator/>
      </w:r>
    </w:p>
  </w:endnote>
  <w:endnote w:type="continuationSeparator" w:id="0">
    <w:p w:rsidR="00600927" w:rsidRDefault="00600927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7849C8" wp14:editId="1AB36C1A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27" w:rsidRDefault="00600927" w:rsidP="00132FBE">
      <w:pPr>
        <w:spacing w:after="0" w:line="240" w:lineRule="auto"/>
      </w:pPr>
      <w:r>
        <w:separator/>
      </w:r>
    </w:p>
  </w:footnote>
  <w:footnote w:type="continuationSeparator" w:id="0">
    <w:p w:rsidR="00600927" w:rsidRDefault="00600927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F1" w:rsidRDefault="00766FF1">
    <w:pPr>
      <w:pStyle w:val="Zhlav"/>
    </w:pPr>
  </w:p>
  <w:p w:rsidR="00132FBE" w:rsidRDefault="00132F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39AAB9"/>
    <w:multiLevelType w:val="hybridMultilevel"/>
    <w:tmpl w:val="2A9BF852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ECC771F"/>
    <w:multiLevelType w:val="hybridMultilevel"/>
    <w:tmpl w:val="70BC6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D27EF"/>
    <w:rsid w:val="000D6330"/>
    <w:rsid w:val="00125A0D"/>
    <w:rsid w:val="00132FBE"/>
    <w:rsid w:val="001A09A7"/>
    <w:rsid w:val="00224D9C"/>
    <w:rsid w:val="0028751E"/>
    <w:rsid w:val="002A1469"/>
    <w:rsid w:val="002D76F7"/>
    <w:rsid w:val="00313C81"/>
    <w:rsid w:val="00316CE3"/>
    <w:rsid w:val="0045511C"/>
    <w:rsid w:val="004D7A26"/>
    <w:rsid w:val="00537FFC"/>
    <w:rsid w:val="00560211"/>
    <w:rsid w:val="005C47CA"/>
    <w:rsid w:val="00600927"/>
    <w:rsid w:val="00627846"/>
    <w:rsid w:val="00660D63"/>
    <w:rsid w:val="00670399"/>
    <w:rsid w:val="006966A9"/>
    <w:rsid w:val="006B38BD"/>
    <w:rsid w:val="006B4DA8"/>
    <w:rsid w:val="00704EFB"/>
    <w:rsid w:val="007510E2"/>
    <w:rsid w:val="00766FF1"/>
    <w:rsid w:val="007D3E10"/>
    <w:rsid w:val="007E6511"/>
    <w:rsid w:val="00815DE3"/>
    <w:rsid w:val="00874620"/>
    <w:rsid w:val="008762EB"/>
    <w:rsid w:val="00894D94"/>
    <w:rsid w:val="008B0C54"/>
    <w:rsid w:val="008C15C2"/>
    <w:rsid w:val="009533AD"/>
    <w:rsid w:val="009B4D6B"/>
    <w:rsid w:val="009D62BC"/>
    <w:rsid w:val="00A572A7"/>
    <w:rsid w:val="00A74130"/>
    <w:rsid w:val="00B2470F"/>
    <w:rsid w:val="00BA3A9B"/>
    <w:rsid w:val="00C010A3"/>
    <w:rsid w:val="00C07467"/>
    <w:rsid w:val="00C9038F"/>
    <w:rsid w:val="00CD5B27"/>
    <w:rsid w:val="00CF35C3"/>
    <w:rsid w:val="00D26BDD"/>
    <w:rsid w:val="00DB1D56"/>
    <w:rsid w:val="00DB39B7"/>
    <w:rsid w:val="00DC2A36"/>
    <w:rsid w:val="00E27BF2"/>
    <w:rsid w:val="00ED6EA6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B7D2A-5D27-4149-AF15-08381F24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875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B38BD"/>
    <w:pPr>
      <w:ind w:left="720"/>
      <w:contextualSpacing/>
    </w:pPr>
  </w:style>
  <w:style w:type="paragraph" w:customStyle="1" w:styleId="Default">
    <w:name w:val="Default"/>
    <w:rsid w:val="004D7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D215-9648-4081-800B-3AF499B3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Chrpová</cp:lastModifiedBy>
  <cp:revision>2</cp:revision>
  <cp:lastPrinted>2020-05-05T07:31:00Z</cp:lastPrinted>
  <dcterms:created xsi:type="dcterms:W3CDTF">2020-05-29T05:36:00Z</dcterms:created>
  <dcterms:modified xsi:type="dcterms:W3CDTF">2020-05-29T05:36:00Z</dcterms:modified>
</cp:coreProperties>
</file>