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D020EC">
        <w:rPr>
          <w:rFonts w:ascii="Arial" w:hAnsi="Arial" w:cs="Arial"/>
          <w:b/>
        </w:rPr>
        <w:t>Vybavení center odborné přípravy (COP) učebními pomůckami – dodávka ručního motorového nářadí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Příloha č. 2 zadávací dokumentace zakázky malého rozsahu</w:t>
    </w:r>
  </w:p>
  <w:p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020EC" w:rsidRPr="00D020EC">
      <w:rPr>
        <w:rFonts w:ascii="Arial" w:hAnsi="Arial" w:cs="Arial"/>
        <w:b/>
        <w:sz w:val="16"/>
        <w:szCs w:val="16"/>
      </w:rPr>
      <w:t>Vybavení center odborné přípravy (COP) učebními pomůckami – dodávka ručního motorového nářadí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EC82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9</cp:revision>
  <cp:lastPrinted>2018-11-06T09:34:00Z</cp:lastPrinted>
  <dcterms:created xsi:type="dcterms:W3CDTF">2017-01-10T04:58:00Z</dcterms:created>
  <dcterms:modified xsi:type="dcterms:W3CDTF">2020-08-04T22:27:00Z</dcterms:modified>
</cp:coreProperties>
</file>